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80" w:rsidRPr="002029D8" w:rsidRDefault="00CC1780" w:rsidP="008D6E38">
      <w:pPr>
        <w:spacing w:after="0" w:line="240" w:lineRule="auto"/>
        <w:jc w:val="center"/>
        <w:rPr>
          <w:rFonts w:ascii="Bookman Old Style" w:hAnsi="Bookman Old Style"/>
          <w:b/>
          <w:sz w:val="46"/>
          <w:szCs w:val="26"/>
          <w:vertAlign w:val="superscript"/>
        </w:rPr>
      </w:pPr>
      <w:r>
        <w:rPr>
          <w:rFonts w:ascii="Bookman Old Style" w:hAnsi="Bookman Old Style"/>
          <w:b/>
          <w:sz w:val="36"/>
          <w:szCs w:val="26"/>
          <w:u w:val="single"/>
        </w:rPr>
        <w:t>The Role of Non-Banking Financial Institutions</w:t>
      </w:r>
      <w:r w:rsidR="00384B17">
        <w:rPr>
          <w:rStyle w:val="FootnoteReference"/>
          <w:rFonts w:ascii="Bookman Old Style" w:hAnsi="Bookman Old Style"/>
          <w:b/>
          <w:sz w:val="36"/>
          <w:szCs w:val="26"/>
          <w:u w:val="single"/>
        </w:rPr>
        <w:footnoteReference w:id="1"/>
      </w:r>
    </w:p>
    <w:p w:rsidR="00CC1780" w:rsidRDefault="00CC1780" w:rsidP="008D6E38">
      <w:pPr>
        <w:spacing w:after="0" w:line="240" w:lineRule="auto"/>
        <w:jc w:val="center"/>
        <w:rPr>
          <w:rFonts w:ascii="Bookman Old Style" w:hAnsi="Bookman Old Style"/>
          <w:i/>
          <w:sz w:val="26"/>
          <w:szCs w:val="26"/>
          <w:u w:val="single"/>
        </w:rPr>
      </w:pPr>
      <w:r>
        <w:rPr>
          <w:rFonts w:ascii="Bookman Old Style" w:hAnsi="Bookman Old Style"/>
          <w:i/>
          <w:sz w:val="26"/>
          <w:szCs w:val="26"/>
        </w:rPr>
        <w:tab/>
      </w:r>
      <w:r>
        <w:rPr>
          <w:rFonts w:ascii="Bookman Old Style" w:hAnsi="Bookman Old Style"/>
          <w:i/>
          <w:sz w:val="26"/>
          <w:szCs w:val="26"/>
        </w:rPr>
        <w:tab/>
      </w:r>
      <w:r>
        <w:rPr>
          <w:rFonts w:ascii="Bookman Old Style" w:hAnsi="Bookman Old Style"/>
          <w:i/>
          <w:sz w:val="26"/>
          <w:szCs w:val="26"/>
        </w:rPr>
        <w:tab/>
      </w:r>
      <w:r>
        <w:rPr>
          <w:rFonts w:ascii="Bookman Old Style" w:hAnsi="Bookman Old Style"/>
          <w:i/>
          <w:sz w:val="26"/>
          <w:szCs w:val="26"/>
        </w:rPr>
        <w:tab/>
      </w:r>
      <w:r>
        <w:rPr>
          <w:rFonts w:ascii="Bookman Old Style" w:hAnsi="Bookman Old Style"/>
          <w:i/>
          <w:sz w:val="26"/>
          <w:szCs w:val="26"/>
        </w:rPr>
        <w:tab/>
      </w:r>
      <w:r>
        <w:rPr>
          <w:rFonts w:ascii="Bookman Old Style" w:hAnsi="Bookman Old Style"/>
          <w:i/>
          <w:sz w:val="26"/>
          <w:szCs w:val="26"/>
        </w:rPr>
        <w:tab/>
      </w:r>
      <w:r>
        <w:rPr>
          <w:rFonts w:ascii="Bookman Old Style" w:hAnsi="Bookman Old Style"/>
          <w:i/>
          <w:sz w:val="26"/>
          <w:szCs w:val="26"/>
        </w:rPr>
        <w:tab/>
      </w:r>
      <w:r>
        <w:rPr>
          <w:rFonts w:ascii="Bookman Old Style" w:hAnsi="Bookman Old Style"/>
          <w:i/>
          <w:sz w:val="26"/>
          <w:szCs w:val="26"/>
        </w:rPr>
        <w:tab/>
      </w:r>
      <w:r>
        <w:rPr>
          <w:rFonts w:ascii="Bookman Old Style" w:hAnsi="Bookman Old Style"/>
          <w:i/>
          <w:sz w:val="26"/>
          <w:szCs w:val="26"/>
        </w:rPr>
        <w:tab/>
      </w:r>
      <w:r>
        <w:rPr>
          <w:rFonts w:ascii="Bookman Old Style" w:hAnsi="Bookman Old Style"/>
          <w:i/>
          <w:sz w:val="26"/>
          <w:szCs w:val="26"/>
          <w:u w:val="single"/>
        </w:rPr>
        <w:t>Ishrat Husain</w:t>
      </w:r>
    </w:p>
    <w:p w:rsidR="00CC1780" w:rsidRPr="008D6E38" w:rsidRDefault="00CC1780" w:rsidP="00CC1780">
      <w:pPr>
        <w:jc w:val="both"/>
        <w:rPr>
          <w:rFonts w:ascii="Bookman Old Style" w:hAnsi="Bookman Old Style"/>
          <w:i/>
          <w:sz w:val="2"/>
          <w:szCs w:val="26"/>
          <w:u w:val="single"/>
        </w:rPr>
      </w:pPr>
    </w:p>
    <w:p w:rsidR="00324810" w:rsidRPr="008D6E38" w:rsidRDefault="00324810" w:rsidP="00CC1780">
      <w:pPr>
        <w:jc w:val="both"/>
        <w:rPr>
          <w:rFonts w:ascii="Bookman Old Style" w:hAnsi="Bookman Old Style"/>
          <w:i/>
          <w:sz w:val="2"/>
          <w:szCs w:val="26"/>
          <w:u w:val="single"/>
        </w:rPr>
      </w:pPr>
    </w:p>
    <w:p w:rsidR="00CC1780" w:rsidRPr="008D6E38" w:rsidRDefault="00EE70EC" w:rsidP="00EE70EC">
      <w:pPr>
        <w:pStyle w:val="ListParagraph"/>
        <w:spacing w:line="360" w:lineRule="auto"/>
        <w:ind w:left="0" w:firstLine="720"/>
        <w:jc w:val="both"/>
        <w:rPr>
          <w:rFonts w:ascii="Bookman Old Style" w:hAnsi="Bookman Old Style"/>
          <w:sz w:val="28"/>
          <w:szCs w:val="28"/>
        </w:rPr>
      </w:pPr>
      <w:r w:rsidRPr="008D6E38">
        <w:rPr>
          <w:rFonts w:ascii="Bookman Old Style" w:hAnsi="Bookman Old Style"/>
          <w:sz w:val="26"/>
          <w:szCs w:val="26"/>
        </w:rPr>
        <w:t xml:space="preserve"> </w:t>
      </w:r>
      <w:r w:rsidR="00C27DC7" w:rsidRPr="008D6E38">
        <w:rPr>
          <w:rFonts w:ascii="Bookman Old Style" w:hAnsi="Bookman Old Style"/>
          <w:sz w:val="28"/>
          <w:szCs w:val="28"/>
        </w:rPr>
        <w:t>It is a pleasure to launch the N</w:t>
      </w:r>
      <w:r w:rsidR="00CC1780" w:rsidRPr="008D6E38">
        <w:rPr>
          <w:rFonts w:ascii="Bookman Old Style" w:hAnsi="Bookman Old Style"/>
          <w:sz w:val="28"/>
          <w:szCs w:val="28"/>
        </w:rPr>
        <w:t>BFI- Modarabas</w:t>
      </w:r>
      <w:r w:rsidR="00324810" w:rsidRPr="008D6E38">
        <w:rPr>
          <w:rFonts w:ascii="Bookman Old Style" w:hAnsi="Bookman Old Style"/>
          <w:sz w:val="28"/>
          <w:szCs w:val="28"/>
        </w:rPr>
        <w:t xml:space="preserve"> </w:t>
      </w:r>
      <w:r w:rsidR="00CC1780" w:rsidRPr="008D6E38">
        <w:rPr>
          <w:rFonts w:ascii="Bookman Old Style" w:hAnsi="Bookman Old Style"/>
          <w:sz w:val="28"/>
          <w:szCs w:val="28"/>
        </w:rPr>
        <w:t xml:space="preserve">Report prepared </w:t>
      </w:r>
      <w:r w:rsidR="00F42B54" w:rsidRPr="008D6E38">
        <w:rPr>
          <w:rFonts w:ascii="Bookman Old Style" w:hAnsi="Bookman Old Style"/>
          <w:sz w:val="28"/>
          <w:szCs w:val="28"/>
        </w:rPr>
        <w:t>i</w:t>
      </w:r>
      <w:r w:rsidR="00CC1780" w:rsidRPr="008D6E38">
        <w:rPr>
          <w:rFonts w:ascii="Bookman Old Style" w:hAnsi="Bookman Old Style"/>
          <w:sz w:val="28"/>
          <w:szCs w:val="28"/>
        </w:rPr>
        <w:t xml:space="preserve">n collaboration with IBA-CEIF. I must congratulate the authors </w:t>
      </w:r>
      <w:r w:rsidR="00927F08">
        <w:rPr>
          <w:rFonts w:ascii="Bookman Old Style" w:hAnsi="Bookman Old Style"/>
          <w:sz w:val="28"/>
          <w:szCs w:val="28"/>
        </w:rPr>
        <w:t xml:space="preserve">for </w:t>
      </w:r>
      <w:r w:rsidR="00CC1780" w:rsidRPr="008D6E38">
        <w:rPr>
          <w:rFonts w:ascii="Bookman Old Style" w:hAnsi="Bookman Old Style"/>
          <w:sz w:val="28"/>
          <w:szCs w:val="28"/>
        </w:rPr>
        <w:t>producing a high quality report. I hope that t</w:t>
      </w:r>
      <w:r w:rsidR="00F42B54" w:rsidRPr="008D6E38">
        <w:rPr>
          <w:rFonts w:ascii="Bookman Old Style" w:hAnsi="Bookman Old Style"/>
          <w:sz w:val="28"/>
          <w:szCs w:val="28"/>
        </w:rPr>
        <w:t>his exercise would be undertaken</w:t>
      </w:r>
      <w:r w:rsidR="00CC1780" w:rsidRPr="008D6E38">
        <w:rPr>
          <w:rFonts w:ascii="Bookman Old Style" w:hAnsi="Bookman Old Style"/>
          <w:sz w:val="28"/>
          <w:szCs w:val="28"/>
        </w:rPr>
        <w:t xml:space="preserve"> regularly to create awareness about NBFIs among public at large.</w:t>
      </w:r>
    </w:p>
    <w:p w:rsidR="00CC1780" w:rsidRPr="008D6E38" w:rsidRDefault="00CC1780" w:rsidP="00CC1780">
      <w:pPr>
        <w:pStyle w:val="ListParagraph"/>
        <w:jc w:val="both"/>
        <w:rPr>
          <w:rFonts w:ascii="Bookman Old Style" w:hAnsi="Bookman Old Style"/>
          <w:sz w:val="26"/>
          <w:szCs w:val="26"/>
        </w:rPr>
      </w:pPr>
      <w:r w:rsidRPr="008D6E38">
        <w:rPr>
          <w:rFonts w:ascii="Bookman Old Style" w:hAnsi="Bookman Old Style"/>
          <w:sz w:val="26"/>
          <w:szCs w:val="26"/>
        </w:rPr>
        <w:t xml:space="preserve">   </w:t>
      </w:r>
    </w:p>
    <w:p w:rsidR="00CC1780" w:rsidRPr="000A52EE" w:rsidRDefault="00CC1780" w:rsidP="002029D8">
      <w:pPr>
        <w:pStyle w:val="ListParagraph"/>
        <w:numPr>
          <w:ilvl w:val="0"/>
          <w:numId w:val="1"/>
        </w:numPr>
        <w:pBdr>
          <w:bottom w:val="single" w:sz="12" w:space="1" w:color="auto"/>
        </w:pBdr>
        <w:spacing w:line="360" w:lineRule="auto"/>
        <w:ind w:left="0" w:firstLine="0"/>
        <w:jc w:val="both"/>
        <w:rPr>
          <w:rFonts w:ascii="Bookman Old Style" w:hAnsi="Bookman Old Style"/>
          <w:sz w:val="28"/>
          <w:szCs w:val="26"/>
        </w:rPr>
      </w:pPr>
      <w:r>
        <w:rPr>
          <w:rFonts w:ascii="Bookman Old Style" w:hAnsi="Bookman Old Style"/>
          <w:sz w:val="28"/>
          <w:szCs w:val="26"/>
        </w:rPr>
        <w:t xml:space="preserve">     Pakistan’s savings and investment ratios are quite low compared to its neighbours. Bangladesh which like us had savings rate in the teens has now reached close to 30 percent of Gdp.  This has reduced Bangladesh’s dependence on foreign savings and foreign aid and enabled the country to attain investment ratios around 30 percent. The country is therefore growing at an average rate of 6 to 7 percent per annum.  Poverty rates have come down to 22 percent – almost one half of what it was down in the early 2000s. This example I present to you as an illustration of the power of domestic savings. Pakistan’s financial depth, financial inclusion and private sector credit to GDP ratios lag behind our </w:t>
      </w:r>
      <w:r w:rsidR="00EE70EC">
        <w:rPr>
          <w:rFonts w:ascii="Bookman Old Style" w:hAnsi="Bookman Old Style"/>
          <w:sz w:val="28"/>
          <w:szCs w:val="26"/>
        </w:rPr>
        <w:t>neighbouring</w:t>
      </w:r>
      <w:r>
        <w:rPr>
          <w:rFonts w:ascii="Bookman Old Style" w:hAnsi="Bookman Old Style"/>
          <w:sz w:val="28"/>
          <w:szCs w:val="26"/>
        </w:rPr>
        <w:t xml:space="preserve"> countries and other Emerging countries. There is thus a huge scope for expansion of the financial services sector in Pakistan, for raising our domestic resources and lending to private sector business for fixed investment</w:t>
      </w:r>
      <w:r w:rsidR="00927F08">
        <w:rPr>
          <w:rFonts w:ascii="Bookman Old Style" w:hAnsi="Bookman Old Style"/>
          <w:sz w:val="28"/>
          <w:szCs w:val="26"/>
        </w:rPr>
        <w:t>. Currency in circulation ratio</w:t>
      </w:r>
      <w:r>
        <w:rPr>
          <w:rFonts w:ascii="Bookman Old Style" w:hAnsi="Bookman Old Style"/>
          <w:sz w:val="28"/>
          <w:szCs w:val="26"/>
        </w:rPr>
        <w:t xml:space="preserve"> in Pakistan ha</w:t>
      </w:r>
      <w:r w:rsidR="00927F08">
        <w:rPr>
          <w:rFonts w:ascii="Bookman Old Style" w:hAnsi="Bookman Old Style"/>
          <w:sz w:val="28"/>
          <w:szCs w:val="26"/>
        </w:rPr>
        <w:t>s</w:t>
      </w:r>
      <w:r>
        <w:rPr>
          <w:rFonts w:ascii="Bookman Old Style" w:hAnsi="Bookman Old Style"/>
          <w:sz w:val="28"/>
          <w:szCs w:val="26"/>
        </w:rPr>
        <w:t xml:space="preserve"> risen to unacceptable level</w:t>
      </w:r>
      <w:r w:rsidR="00927F08">
        <w:rPr>
          <w:rFonts w:ascii="Bookman Old Style" w:hAnsi="Bookman Old Style"/>
          <w:sz w:val="28"/>
          <w:szCs w:val="26"/>
        </w:rPr>
        <w:t>-almost one third of Broad Money and had reached over 6 trillion rupees at end June 2020</w:t>
      </w:r>
      <w:r>
        <w:rPr>
          <w:rFonts w:ascii="Bookman Old Style" w:hAnsi="Bookman Old Style"/>
          <w:sz w:val="28"/>
          <w:szCs w:val="26"/>
        </w:rPr>
        <w:t xml:space="preserve">. Islamic </w:t>
      </w:r>
      <w:r>
        <w:rPr>
          <w:rFonts w:ascii="Bookman Old Style" w:hAnsi="Bookman Old Style"/>
          <w:sz w:val="28"/>
          <w:szCs w:val="26"/>
        </w:rPr>
        <w:lastRenderedPageBreak/>
        <w:t>financing has become quite popular in Pakistan – 74% of those polled would like to switch to</w:t>
      </w:r>
      <w:r w:rsidR="000A52EE">
        <w:rPr>
          <w:rFonts w:ascii="Bookman Old Style" w:hAnsi="Bookman Old Style"/>
          <w:sz w:val="28"/>
          <w:szCs w:val="26"/>
        </w:rPr>
        <w:t xml:space="preserve"> </w:t>
      </w:r>
      <w:r w:rsidRPr="000A52EE">
        <w:rPr>
          <w:rFonts w:ascii="Bookman Old Style" w:hAnsi="Bookman Old Style"/>
          <w:sz w:val="28"/>
          <w:szCs w:val="26"/>
        </w:rPr>
        <w:t xml:space="preserve">Islamic financing. A lot of small savers are not very much comfortable with banking services. There is a niche market i.e. the intersection of great interest in Islamic financing and small savers which in my view Modarabas and NBFIs can actually exploit to </w:t>
      </w:r>
      <w:r w:rsidR="00EE18FE" w:rsidRPr="000A52EE">
        <w:rPr>
          <w:rFonts w:ascii="Bookman Old Style" w:hAnsi="Bookman Old Style"/>
          <w:sz w:val="28"/>
          <w:szCs w:val="26"/>
        </w:rPr>
        <w:t>tap this pool of savings for productive</w:t>
      </w:r>
      <w:r w:rsidRPr="000A52EE">
        <w:rPr>
          <w:rFonts w:ascii="Bookman Old Style" w:hAnsi="Bookman Old Style"/>
          <w:sz w:val="28"/>
          <w:szCs w:val="26"/>
        </w:rPr>
        <w:t xml:space="preserve"> purpose. </w:t>
      </w:r>
    </w:p>
    <w:p w:rsidR="00CC1780" w:rsidRDefault="00CC1780" w:rsidP="00CC1780">
      <w:pPr>
        <w:spacing w:line="360" w:lineRule="auto"/>
        <w:jc w:val="both"/>
        <w:rPr>
          <w:rFonts w:ascii="Bookman Old Style" w:hAnsi="Bookman Old Style"/>
          <w:sz w:val="20"/>
          <w:szCs w:val="26"/>
        </w:rPr>
      </w:pPr>
    </w:p>
    <w:p w:rsidR="00CC1780" w:rsidRPr="000A52EE" w:rsidRDefault="00CC1780" w:rsidP="000A52EE">
      <w:pPr>
        <w:pStyle w:val="ListParagraph"/>
        <w:numPr>
          <w:ilvl w:val="0"/>
          <w:numId w:val="1"/>
        </w:numPr>
        <w:spacing w:line="360" w:lineRule="auto"/>
        <w:jc w:val="both"/>
        <w:rPr>
          <w:rFonts w:ascii="Bookman Old Style" w:hAnsi="Bookman Old Style"/>
          <w:sz w:val="28"/>
          <w:szCs w:val="26"/>
        </w:rPr>
      </w:pPr>
      <w:r w:rsidRPr="000A52EE">
        <w:rPr>
          <w:rFonts w:ascii="Bookman Old Style" w:hAnsi="Bookman Old Style"/>
          <w:sz w:val="28"/>
          <w:szCs w:val="26"/>
        </w:rPr>
        <w:t>We are fortunate that we have at present very progressive minded and forward looking regulators – SECP and SBP. This is the time for your Association to move away from the traditional ways of doing business and bring about innovations as the regulators would assist and facilitate you. The risk is that fintechs may create such disruption that both banking and non-banking institutions lose their primacy. NBFIs should make use of technology to mobilize savings and reduce the cost of lending.  Brick-and-mortar presence that entail</w:t>
      </w:r>
      <w:r w:rsidR="000A52EE" w:rsidRPr="000A52EE">
        <w:rPr>
          <w:rFonts w:ascii="Bookman Old Style" w:hAnsi="Bookman Old Style"/>
          <w:sz w:val="28"/>
          <w:szCs w:val="26"/>
        </w:rPr>
        <w:t>s</w:t>
      </w:r>
      <w:r w:rsidRPr="000A52EE">
        <w:rPr>
          <w:rFonts w:ascii="Bookman Old Style" w:hAnsi="Bookman Old Style"/>
          <w:sz w:val="28"/>
          <w:szCs w:val="26"/>
        </w:rPr>
        <w:t xml:space="preserve"> a lot of up front expense can be avoided this way. </w:t>
      </w:r>
    </w:p>
    <w:p w:rsidR="000A52EE" w:rsidRPr="000A52EE" w:rsidRDefault="000A52EE" w:rsidP="000A52EE">
      <w:pPr>
        <w:pStyle w:val="ListParagraph"/>
        <w:rPr>
          <w:rFonts w:ascii="Bookman Old Style" w:hAnsi="Bookman Old Style"/>
          <w:sz w:val="28"/>
          <w:szCs w:val="26"/>
        </w:rPr>
      </w:pPr>
    </w:p>
    <w:p w:rsidR="000A52EE" w:rsidRPr="000A52EE" w:rsidRDefault="00CC1780" w:rsidP="000A52EE">
      <w:pPr>
        <w:pStyle w:val="ListParagraph"/>
        <w:numPr>
          <w:ilvl w:val="0"/>
          <w:numId w:val="1"/>
        </w:numPr>
        <w:spacing w:line="360" w:lineRule="auto"/>
        <w:jc w:val="both"/>
        <w:rPr>
          <w:rFonts w:ascii="Bookman Old Style" w:hAnsi="Bookman Old Style"/>
          <w:sz w:val="28"/>
          <w:szCs w:val="26"/>
        </w:rPr>
      </w:pPr>
      <w:r w:rsidRPr="000A52EE">
        <w:rPr>
          <w:rFonts w:ascii="Bookman Old Style" w:hAnsi="Bookman Old Style"/>
          <w:sz w:val="28"/>
          <w:szCs w:val="26"/>
        </w:rPr>
        <w:t xml:space="preserve">The waterfront covering the NBFIs has expanded vastly and new institutions such as Shariah Compliant mutual funds, Pension Funds, Provident Funds, </w:t>
      </w:r>
      <w:r w:rsidR="00EE70EC" w:rsidRPr="000A52EE">
        <w:rPr>
          <w:rFonts w:ascii="Bookman Old Style" w:hAnsi="Bookman Old Style"/>
          <w:sz w:val="28"/>
          <w:szCs w:val="26"/>
        </w:rPr>
        <w:t>Endowment Funds</w:t>
      </w:r>
      <w:r w:rsidRPr="000A52EE">
        <w:rPr>
          <w:rFonts w:ascii="Bookman Old Style" w:hAnsi="Bookman Old Style"/>
          <w:sz w:val="28"/>
          <w:szCs w:val="26"/>
        </w:rPr>
        <w:t xml:space="preserve">, REITS, investment </w:t>
      </w:r>
      <w:r w:rsidR="00EE70EC" w:rsidRPr="000A52EE">
        <w:rPr>
          <w:rFonts w:ascii="Bookman Old Style" w:hAnsi="Bookman Old Style"/>
          <w:sz w:val="28"/>
          <w:szCs w:val="26"/>
        </w:rPr>
        <w:t>finance companies</w:t>
      </w:r>
      <w:r w:rsidRPr="000A52EE">
        <w:rPr>
          <w:rFonts w:ascii="Bookman Old Style" w:hAnsi="Bookman Old Style"/>
          <w:sz w:val="28"/>
          <w:szCs w:val="26"/>
        </w:rPr>
        <w:t xml:space="preserve"> have been set up in last two decades. These institutions can play a very critical role in the development of Capital debt markets that are yet to take off. SECP has recently encouraged setting up of Housing finance companies to participate in the Rs. 500 billion </w:t>
      </w:r>
      <w:r w:rsidR="00EE70EC" w:rsidRPr="000A52EE">
        <w:rPr>
          <w:rFonts w:ascii="Bookman Old Style" w:hAnsi="Bookman Old Style"/>
          <w:sz w:val="28"/>
          <w:szCs w:val="26"/>
        </w:rPr>
        <w:t>investments to be channeled towards constru</w:t>
      </w:r>
      <w:r w:rsidRPr="000A52EE">
        <w:rPr>
          <w:rFonts w:ascii="Bookman Old Style" w:hAnsi="Bookman Old Style"/>
          <w:sz w:val="28"/>
          <w:szCs w:val="26"/>
        </w:rPr>
        <w:t>cti</w:t>
      </w:r>
      <w:r w:rsidR="00EE70EC" w:rsidRPr="000A52EE">
        <w:rPr>
          <w:rFonts w:ascii="Bookman Old Style" w:hAnsi="Bookman Old Style"/>
          <w:sz w:val="28"/>
          <w:szCs w:val="26"/>
        </w:rPr>
        <w:t>o</w:t>
      </w:r>
      <w:r w:rsidRPr="000A52EE">
        <w:rPr>
          <w:rFonts w:ascii="Bookman Old Style" w:hAnsi="Bookman Old Style"/>
          <w:sz w:val="28"/>
          <w:szCs w:val="26"/>
        </w:rPr>
        <w:t xml:space="preserve">n. These </w:t>
      </w:r>
      <w:r w:rsidR="00EE18FE" w:rsidRPr="000A52EE">
        <w:rPr>
          <w:rFonts w:ascii="Bookman Old Style" w:hAnsi="Bookman Old Style"/>
          <w:sz w:val="28"/>
          <w:szCs w:val="26"/>
        </w:rPr>
        <w:t>investments in</w:t>
      </w:r>
      <w:r w:rsidRPr="000A52EE">
        <w:rPr>
          <w:rFonts w:ascii="Bookman Old Style" w:hAnsi="Bookman Old Style"/>
          <w:sz w:val="28"/>
          <w:szCs w:val="26"/>
        </w:rPr>
        <w:t xml:space="preserve"> low cost housing have both financial as well social returns</w:t>
      </w:r>
      <w:r w:rsidR="00DE1888">
        <w:rPr>
          <w:rFonts w:ascii="Bookman Old Style" w:hAnsi="Bookman Old Style"/>
          <w:sz w:val="28"/>
          <w:szCs w:val="26"/>
        </w:rPr>
        <w:t xml:space="preserve"> </w:t>
      </w:r>
      <w:bookmarkStart w:id="0" w:name="_GoBack"/>
      <w:bookmarkEnd w:id="0"/>
      <w:r w:rsidRPr="000A52EE">
        <w:rPr>
          <w:rFonts w:ascii="Bookman Old Style" w:hAnsi="Bookman Old Style"/>
          <w:sz w:val="28"/>
          <w:szCs w:val="26"/>
        </w:rPr>
        <w:t>.</w:t>
      </w:r>
      <w:r w:rsidR="00EE18FE" w:rsidRPr="000A52EE">
        <w:rPr>
          <w:rFonts w:ascii="Bookman Old Style" w:hAnsi="Bookman Old Style"/>
          <w:sz w:val="28"/>
          <w:szCs w:val="26"/>
        </w:rPr>
        <w:t>Islamic finance has an attractive product to offer i.e. t</w:t>
      </w:r>
      <w:r w:rsidRPr="000A52EE">
        <w:rPr>
          <w:rFonts w:ascii="Bookman Old Style" w:hAnsi="Bookman Old Style"/>
          <w:sz w:val="28"/>
          <w:szCs w:val="26"/>
        </w:rPr>
        <w:t xml:space="preserve">he </w:t>
      </w:r>
      <w:r w:rsidRPr="000A52EE">
        <w:rPr>
          <w:rFonts w:ascii="Bookman Old Style" w:hAnsi="Bookman Old Style"/>
          <w:sz w:val="28"/>
          <w:szCs w:val="26"/>
        </w:rPr>
        <w:lastRenderedPageBreak/>
        <w:t>Diminishing Musharika which gradually builds up the equity of the borrower and improves his creditworthiness.</w:t>
      </w:r>
    </w:p>
    <w:p w:rsidR="00CC1780" w:rsidRPr="000A52EE" w:rsidRDefault="00CC1780" w:rsidP="000A52EE">
      <w:pPr>
        <w:pStyle w:val="ListParagraph"/>
        <w:numPr>
          <w:ilvl w:val="0"/>
          <w:numId w:val="1"/>
        </w:numPr>
        <w:spacing w:line="360" w:lineRule="auto"/>
        <w:jc w:val="both"/>
        <w:rPr>
          <w:rFonts w:ascii="Bookman Old Style" w:hAnsi="Bookman Old Style"/>
          <w:sz w:val="28"/>
          <w:szCs w:val="26"/>
        </w:rPr>
      </w:pPr>
      <w:r w:rsidRPr="000A52EE">
        <w:rPr>
          <w:rFonts w:ascii="Bookman Old Style" w:hAnsi="Bookman Old Style"/>
          <w:sz w:val="28"/>
          <w:szCs w:val="26"/>
        </w:rPr>
        <w:t xml:space="preserve"> Shariah compliant institutions – both banking and non-banking have the opportunity to use their liquidity for the Sukuks which are now a regular feature of the Borrowing Strategy of the Government of Pakistan. The maturity mismatch inherent in the banking business can be overcome by those long term investment instruments. NBFIs, Insurance Companies, REITS, Housing finance Companies, Infrastructure Investment Funds are looking for opportuni</w:t>
      </w:r>
      <w:r w:rsidR="00EE18FE" w:rsidRPr="000A52EE">
        <w:rPr>
          <w:rFonts w:ascii="Bookman Old Style" w:hAnsi="Bookman Old Style"/>
          <w:sz w:val="28"/>
          <w:szCs w:val="26"/>
        </w:rPr>
        <w:t>ties to deploy their resources w</w:t>
      </w:r>
      <w:r w:rsidRPr="000A52EE">
        <w:rPr>
          <w:rFonts w:ascii="Bookman Old Style" w:hAnsi="Bookman Old Style"/>
          <w:sz w:val="28"/>
          <w:szCs w:val="26"/>
        </w:rPr>
        <w:t>hich they can invest in long term housing and infrastructure project</w:t>
      </w:r>
      <w:r w:rsidR="00EE18FE" w:rsidRPr="000A52EE">
        <w:rPr>
          <w:rFonts w:ascii="Bookman Old Style" w:hAnsi="Bookman Old Style"/>
          <w:sz w:val="28"/>
          <w:szCs w:val="26"/>
        </w:rPr>
        <w:t>s</w:t>
      </w:r>
      <w:r w:rsidRPr="000A52EE">
        <w:rPr>
          <w:rFonts w:ascii="Bookman Old Style" w:hAnsi="Bookman Old Style"/>
          <w:sz w:val="28"/>
          <w:szCs w:val="26"/>
        </w:rPr>
        <w:t xml:space="preserve">. I am also sad to see that bank </w:t>
      </w:r>
      <w:r w:rsidR="00ED5C09" w:rsidRPr="000A52EE">
        <w:rPr>
          <w:rFonts w:ascii="Bookman Old Style" w:hAnsi="Bookman Old Style"/>
          <w:sz w:val="28"/>
          <w:szCs w:val="26"/>
        </w:rPr>
        <w:t>lending to SMEs has declined</w:t>
      </w:r>
      <w:r w:rsidRPr="000A52EE">
        <w:rPr>
          <w:rFonts w:ascii="Bookman Old Style" w:hAnsi="Bookman Old Style"/>
          <w:sz w:val="28"/>
          <w:szCs w:val="26"/>
        </w:rPr>
        <w:t xml:space="preserve"> from 17% to 7%-a big </w:t>
      </w:r>
      <w:r w:rsidR="00ED5C09" w:rsidRPr="000A52EE">
        <w:rPr>
          <w:rFonts w:ascii="Bookman Old Style" w:hAnsi="Bookman Old Style"/>
          <w:sz w:val="28"/>
          <w:szCs w:val="26"/>
        </w:rPr>
        <w:t>setback</w:t>
      </w:r>
      <w:r w:rsidRPr="000A52EE">
        <w:rPr>
          <w:rFonts w:ascii="Bookman Old Style" w:hAnsi="Bookman Old Style"/>
          <w:sz w:val="28"/>
          <w:szCs w:val="26"/>
        </w:rPr>
        <w:t xml:space="preserve"> and reversal of b</w:t>
      </w:r>
      <w:r w:rsidR="00ED5C09" w:rsidRPr="000A52EE">
        <w:rPr>
          <w:rFonts w:ascii="Bookman Old Style" w:hAnsi="Bookman Old Style"/>
          <w:sz w:val="28"/>
          <w:szCs w:val="26"/>
        </w:rPr>
        <w:t>roadening the access to finance. S</w:t>
      </w:r>
      <w:r w:rsidRPr="000A52EE">
        <w:rPr>
          <w:rFonts w:ascii="Bookman Old Style" w:hAnsi="Bookman Old Style"/>
          <w:sz w:val="28"/>
          <w:szCs w:val="26"/>
        </w:rPr>
        <w:t>imil</w:t>
      </w:r>
      <w:r w:rsidR="00ED5C09" w:rsidRPr="000A52EE">
        <w:rPr>
          <w:rFonts w:ascii="Bookman Old Style" w:hAnsi="Bookman Old Style"/>
          <w:sz w:val="28"/>
          <w:szCs w:val="26"/>
        </w:rPr>
        <w:t>arly, the Advance-Deposit ratios</w:t>
      </w:r>
      <w:r w:rsidRPr="000A52EE">
        <w:rPr>
          <w:rFonts w:ascii="Bookman Old Style" w:hAnsi="Bookman Old Style"/>
          <w:sz w:val="28"/>
          <w:szCs w:val="26"/>
        </w:rPr>
        <w:t xml:space="preserve"> which ranged between 70 to 80% are now on average below 50%. Thus there is great scope of improving financial inclusion for both banks and NBFIs.   </w:t>
      </w:r>
    </w:p>
    <w:p w:rsidR="00CC1780" w:rsidRDefault="00CC1780" w:rsidP="00CC1780">
      <w:pPr>
        <w:spacing w:line="360" w:lineRule="auto"/>
        <w:jc w:val="both"/>
        <w:rPr>
          <w:rFonts w:ascii="Bookman Old Style" w:hAnsi="Bookman Old Style"/>
          <w:sz w:val="20"/>
          <w:szCs w:val="26"/>
        </w:rPr>
      </w:pPr>
    </w:p>
    <w:p w:rsidR="00CC1780" w:rsidRDefault="00CC1780" w:rsidP="00CC1780">
      <w:pPr>
        <w:spacing w:line="360" w:lineRule="auto"/>
        <w:jc w:val="both"/>
        <w:rPr>
          <w:rFonts w:ascii="Bookman Old Style" w:hAnsi="Bookman Old Style"/>
          <w:sz w:val="28"/>
          <w:szCs w:val="26"/>
        </w:rPr>
      </w:pPr>
      <w:r>
        <w:rPr>
          <w:rFonts w:ascii="Bookman Old Style" w:hAnsi="Bookman Old Style"/>
          <w:sz w:val="28"/>
          <w:szCs w:val="26"/>
        </w:rPr>
        <w:t>6.</w:t>
      </w:r>
      <w:r>
        <w:rPr>
          <w:rFonts w:ascii="Bookman Old Style" w:hAnsi="Bookman Old Style"/>
          <w:sz w:val="28"/>
          <w:szCs w:val="26"/>
        </w:rPr>
        <w:tab/>
      </w:r>
      <w:r>
        <w:rPr>
          <w:rFonts w:ascii="Bookman Old Style" w:hAnsi="Bookman Old Style"/>
          <w:sz w:val="28"/>
          <w:szCs w:val="26"/>
        </w:rPr>
        <w:tab/>
        <w:t xml:space="preserve">I was glad to note that the Pakistan Power Sukuk-II attracted a lot of interest by NBFIs and the healthy competition resulted in a significant saving for the issuer i.e. the GoP compared to the traditional ways of issuance. I would encourage the Modarabas and NBFIs to continue their participation in these issues by the Corporates as well as sovereign. Let me conclude by thanking the </w:t>
      </w:r>
      <w:r w:rsidR="00BA3B06">
        <w:rPr>
          <w:rFonts w:ascii="Bookman Old Style" w:hAnsi="Bookman Old Style"/>
          <w:sz w:val="28"/>
          <w:szCs w:val="26"/>
        </w:rPr>
        <w:t>organizers</w:t>
      </w:r>
      <w:r>
        <w:rPr>
          <w:rFonts w:ascii="Bookman Old Style" w:hAnsi="Bookman Old Style"/>
          <w:sz w:val="28"/>
          <w:szCs w:val="26"/>
        </w:rPr>
        <w:t xml:space="preserve"> for inviting me to share my thoughts with you.</w:t>
      </w:r>
    </w:p>
    <w:p w:rsidR="00CC1780" w:rsidRDefault="00CC1780">
      <w:pPr>
        <w:rPr>
          <w:rFonts w:ascii="Bookman Old Style" w:hAnsi="Bookman Old Style"/>
          <w:b/>
          <w:sz w:val="36"/>
          <w:szCs w:val="26"/>
          <w:u w:val="single"/>
        </w:rPr>
      </w:pPr>
    </w:p>
    <w:sectPr w:rsidR="00CC1780" w:rsidSect="003A0B58">
      <w:footerReference w:type="default" r:id="rId8"/>
      <w:pgSz w:w="12240" w:h="15840"/>
      <w:pgMar w:top="1170" w:right="117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07" w:rsidRDefault="00052B07" w:rsidP="003A0B58">
      <w:pPr>
        <w:spacing w:after="0" w:line="240" w:lineRule="auto"/>
      </w:pPr>
      <w:r>
        <w:separator/>
      </w:r>
    </w:p>
  </w:endnote>
  <w:endnote w:type="continuationSeparator" w:id="0">
    <w:p w:rsidR="00052B07" w:rsidRDefault="00052B07" w:rsidP="003A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099136"/>
      <w:docPartObj>
        <w:docPartGallery w:val="Page Numbers (Bottom of Page)"/>
        <w:docPartUnique/>
      </w:docPartObj>
    </w:sdtPr>
    <w:sdtEndPr>
      <w:rPr>
        <w:noProof/>
      </w:rPr>
    </w:sdtEndPr>
    <w:sdtContent>
      <w:p w:rsidR="003A0B58" w:rsidRDefault="003A0B58">
        <w:pPr>
          <w:pStyle w:val="Footer"/>
          <w:jc w:val="right"/>
        </w:pPr>
        <w:r>
          <w:fldChar w:fldCharType="begin"/>
        </w:r>
        <w:r>
          <w:instrText xml:space="preserve"> PAGE   \* MERGEFORMAT </w:instrText>
        </w:r>
        <w:r>
          <w:fldChar w:fldCharType="separate"/>
        </w:r>
        <w:r w:rsidR="00017124">
          <w:rPr>
            <w:noProof/>
          </w:rPr>
          <w:t>3</w:t>
        </w:r>
        <w:r>
          <w:rPr>
            <w:noProof/>
          </w:rPr>
          <w:fldChar w:fldCharType="end"/>
        </w:r>
      </w:p>
    </w:sdtContent>
  </w:sdt>
  <w:p w:rsidR="003A0B58" w:rsidRDefault="003A0B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07" w:rsidRDefault="00052B07" w:rsidP="003A0B58">
      <w:pPr>
        <w:spacing w:after="0" w:line="240" w:lineRule="auto"/>
      </w:pPr>
      <w:r>
        <w:separator/>
      </w:r>
    </w:p>
  </w:footnote>
  <w:footnote w:type="continuationSeparator" w:id="0">
    <w:p w:rsidR="00052B07" w:rsidRDefault="00052B07" w:rsidP="003A0B58">
      <w:pPr>
        <w:spacing w:after="0" w:line="240" w:lineRule="auto"/>
      </w:pPr>
      <w:r>
        <w:continuationSeparator/>
      </w:r>
    </w:p>
  </w:footnote>
  <w:footnote w:id="1">
    <w:p w:rsidR="000A52EE" w:rsidRPr="00324810" w:rsidRDefault="00384B17" w:rsidP="000A52EE">
      <w:pPr>
        <w:spacing w:after="0" w:line="240" w:lineRule="auto"/>
        <w:jc w:val="both"/>
        <w:rPr>
          <w:rFonts w:ascii="Bookman Old Style" w:hAnsi="Bookman Old Style"/>
          <w:sz w:val="20"/>
          <w:szCs w:val="26"/>
        </w:rPr>
      </w:pPr>
      <w:r>
        <w:rPr>
          <w:rStyle w:val="FootnoteReference"/>
        </w:rPr>
        <w:footnoteRef/>
      </w:r>
      <w:r>
        <w:t xml:space="preserve"> </w:t>
      </w:r>
      <w:r w:rsidR="000A52EE" w:rsidRPr="002029D8">
        <w:rPr>
          <w:rFonts w:ascii="Bookman Old Style" w:hAnsi="Bookman Old Style"/>
          <w:sz w:val="18"/>
          <w:szCs w:val="26"/>
          <w:vertAlign w:val="superscript"/>
        </w:rPr>
        <w:t>(1)</w:t>
      </w:r>
      <w:r w:rsidR="000A52EE" w:rsidRPr="008D6E38">
        <w:rPr>
          <w:rFonts w:ascii="Bookman Old Style" w:hAnsi="Bookman Old Style"/>
          <w:szCs w:val="26"/>
        </w:rPr>
        <w:t>Chief Guest address delivered at the launch of NBFI- Modarabas Report at IBA Karachi on January 25, 2021.</w:t>
      </w:r>
    </w:p>
    <w:p w:rsidR="000A52EE" w:rsidRPr="00324810" w:rsidRDefault="000A52EE" w:rsidP="000A52EE">
      <w:pPr>
        <w:pStyle w:val="ListParagraph"/>
        <w:rPr>
          <w:rFonts w:ascii="Bookman Old Style" w:hAnsi="Bookman Old Style"/>
          <w:sz w:val="28"/>
          <w:szCs w:val="26"/>
        </w:rPr>
      </w:pPr>
    </w:p>
    <w:p w:rsidR="00384B17" w:rsidRDefault="00384B1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266"/>
    <w:multiLevelType w:val="hybridMultilevel"/>
    <w:tmpl w:val="0CE405D6"/>
    <w:lvl w:ilvl="0" w:tplc="52501F4C">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6D"/>
    <w:rsid w:val="00017124"/>
    <w:rsid w:val="0004236D"/>
    <w:rsid w:val="00052B07"/>
    <w:rsid w:val="000732B9"/>
    <w:rsid w:val="000A52EE"/>
    <w:rsid w:val="002029D8"/>
    <w:rsid w:val="002B18C9"/>
    <w:rsid w:val="00324810"/>
    <w:rsid w:val="00384B17"/>
    <w:rsid w:val="003A0B58"/>
    <w:rsid w:val="003E7A4F"/>
    <w:rsid w:val="005559E2"/>
    <w:rsid w:val="00766F62"/>
    <w:rsid w:val="007F6B20"/>
    <w:rsid w:val="008C491A"/>
    <w:rsid w:val="008D6E38"/>
    <w:rsid w:val="008E60BE"/>
    <w:rsid w:val="008F3046"/>
    <w:rsid w:val="00903FE1"/>
    <w:rsid w:val="00927F08"/>
    <w:rsid w:val="00945099"/>
    <w:rsid w:val="00984D4E"/>
    <w:rsid w:val="00A22B1D"/>
    <w:rsid w:val="00A464E5"/>
    <w:rsid w:val="00A616F2"/>
    <w:rsid w:val="00B11628"/>
    <w:rsid w:val="00B800C6"/>
    <w:rsid w:val="00BA3B06"/>
    <w:rsid w:val="00C27DC7"/>
    <w:rsid w:val="00C84618"/>
    <w:rsid w:val="00CC1780"/>
    <w:rsid w:val="00DA33BA"/>
    <w:rsid w:val="00DD39FA"/>
    <w:rsid w:val="00DE1888"/>
    <w:rsid w:val="00E91FDA"/>
    <w:rsid w:val="00ED5C09"/>
    <w:rsid w:val="00EE18FE"/>
    <w:rsid w:val="00EE70EC"/>
    <w:rsid w:val="00F4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39AC"/>
  <w15:chartTrackingRefBased/>
  <w15:docId w15:val="{79AC8325-B593-44D1-BB21-2F83FD1B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62"/>
    <w:rPr>
      <w:rFonts w:ascii="Segoe UI" w:hAnsi="Segoe UI" w:cs="Segoe UI"/>
      <w:sz w:val="18"/>
      <w:szCs w:val="18"/>
    </w:rPr>
  </w:style>
  <w:style w:type="paragraph" w:styleId="Header">
    <w:name w:val="header"/>
    <w:basedOn w:val="Normal"/>
    <w:link w:val="HeaderChar"/>
    <w:uiPriority w:val="99"/>
    <w:unhideWhenUsed/>
    <w:rsid w:val="003A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58"/>
  </w:style>
  <w:style w:type="paragraph" w:styleId="Footer">
    <w:name w:val="footer"/>
    <w:basedOn w:val="Normal"/>
    <w:link w:val="FooterChar"/>
    <w:uiPriority w:val="99"/>
    <w:unhideWhenUsed/>
    <w:rsid w:val="003A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58"/>
  </w:style>
  <w:style w:type="paragraph" w:styleId="ListParagraph">
    <w:name w:val="List Paragraph"/>
    <w:basedOn w:val="Normal"/>
    <w:uiPriority w:val="34"/>
    <w:qFormat/>
    <w:rsid w:val="00CC1780"/>
    <w:pPr>
      <w:spacing w:after="0" w:line="240" w:lineRule="auto"/>
      <w:ind w:left="720"/>
      <w:contextualSpacing/>
    </w:pPr>
    <w:rPr>
      <w:rFonts w:ascii="Arial" w:eastAsia="Times New Roman" w:hAnsi="Arial" w:cs="Times New Roman"/>
      <w:sz w:val="24"/>
      <w:szCs w:val="20"/>
      <w:lang w:val="en-GB"/>
    </w:rPr>
  </w:style>
  <w:style w:type="paragraph" w:styleId="FootnoteText">
    <w:name w:val="footnote text"/>
    <w:basedOn w:val="Normal"/>
    <w:link w:val="FootnoteTextChar"/>
    <w:uiPriority w:val="99"/>
    <w:semiHidden/>
    <w:unhideWhenUsed/>
    <w:rsid w:val="00384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B17"/>
    <w:rPr>
      <w:sz w:val="20"/>
      <w:szCs w:val="20"/>
    </w:rPr>
  </w:style>
  <w:style w:type="character" w:styleId="FootnoteReference">
    <w:name w:val="footnote reference"/>
    <w:basedOn w:val="DefaultParagraphFont"/>
    <w:uiPriority w:val="99"/>
    <w:semiHidden/>
    <w:unhideWhenUsed/>
    <w:rsid w:val="00384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69C2-9D66-46CB-B3DE-FDA5D01E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sapm</cp:lastModifiedBy>
  <cp:revision>2</cp:revision>
  <cp:lastPrinted>2021-01-26T11:17:00Z</cp:lastPrinted>
  <dcterms:created xsi:type="dcterms:W3CDTF">2021-01-26T12:03:00Z</dcterms:created>
  <dcterms:modified xsi:type="dcterms:W3CDTF">2021-01-26T12:03:00Z</dcterms:modified>
</cp:coreProperties>
</file>